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ab/>
        <w:tab/>
        <w:tab/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sz w:val="28"/>
          <w:rtl w:val="0"/>
        </w:rPr>
        <w:t xml:space="preserve">Category 3: History of Our Country</w:t>
      </w:r>
      <w:r w:rsidRPr="00000000" w:rsidR="00000000" w:rsidDel="00000000">
        <w:drawing>
          <wp:inline>
            <wp:extent cy="1381125" cx="331470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1381125" cx="33147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Comic Sans MS" w:hAnsi="Comic Sans MS" w:eastAsia="Comic Sans MS" w:ascii="Comic Sans MS"/>
          <w:rtl w:val="0"/>
        </w:rPr>
        <w:tab/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Things to consider when discussing formation of your Utopian country: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might have been happening in the existing country that led to the creation of your Utopian country?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Was it a slow uprising? Did it happen rather quickly?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happened that allowed for the transition to your Utopian country?  Was it a natural disaster?  War?  Revolution? 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How were you able to convince citizens to go along with you to your new country?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1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 3: History Checklist.docx</dc:title>
</cp:coreProperties>
</file>